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82" w:rsidRPr="00F7439B" w:rsidRDefault="00762B82" w:rsidP="00762B82">
      <w:pPr>
        <w:pStyle w:val="a3"/>
        <w:spacing w:line="276" w:lineRule="auto"/>
        <w:ind w:firstLine="709"/>
        <w:jc w:val="right"/>
        <w:rPr>
          <w:b w:val="0"/>
        </w:rPr>
      </w:pPr>
      <w:r w:rsidRPr="00F7439B">
        <w:rPr>
          <w:b w:val="0"/>
        </w:rPr>
        <w:t>Благов В.А.</w:t>
      </w:r>
    </w:p>
    <w:p w:rsidR="00762B82" w:rsidRPr="00F7439B" w:rsidRDefault="00762B82" w:rsidP="00762B82">
      <w:pPr>
        <w:pStyle w:val="a3"/>
        <w:spacing w:line="276" w:lineRule="auto"/>
        <w:ind w:firstLine="709"/>
        <w:jc w:val="right"/>
        <w:rPr>
          <w:b w:val="0"/>
        </w:rPr>
      </w:pPr>
      <w:r w:rsidRPr="00F7439B">
        <w:rPr>
          <w:b w:val="0"/>
        </w:rPr>
        <w:t>Руководитель Мордовского филиала</w:t>
      </w:r>
    </w:p>
    <w:p w:rsidR="00762B82" w:rsidRPr="00F7439B" w:rsidRDefault="00762B82" w:rsidP="00762B82">
      <w:pPr>
        <w:pStyle w:val="a3"/>
        <w:spacing w:line="276" w:lineRule="auto"/>
        <w:ind w:firstLine="709"/>
        <w:jc w:val="right"/>
        <w:rPr>
          <w:b w:val="0"/>
        </w:rPr>
      </w:pPr>
      <w:r w:rsidRPr="00F7439B">
        <w:rPr>
          <w:b w:val="0"/>
        </w:rPr>
        <w:t>ФБУ «ТФГИ по Приволжскому федеральному округу»</w:t>
      </w:r>
    </w:p>
    <w:p w:rsidR="00762B82" w:rsidRPr="00F7439B" w:rsidRDefault="00762B82" w:rsidP="00762B82">
      <w:pPr>
        <w:pStyle w:val="a3"/>
        <w:spacing w:line="276" w:lineRule="auto"/>
        <w:ind w:firstLine="709"/>
      </w:pPr>
    </w:p>
    <w:p w:rsidR="00762B82" w:rsidRPr="00F7439B" w:rsidRDefault="00762B82" w:rsidP="00762B82">
      <w:pPr>
        <w:pStyle w:val="a3"/>
        <w:spacing w:line="276" w:lineRule="auto"/>
        <w:ind w:firstLine="709"/>
      </w:pPr>
      <w:r w:rsidRPr="00F7439B">
        <w:t xml:space="preserve">Информационное обеспечение  геологического изучения недр и </w:t>
      </w:r>
      <w:proofErr w:type="spellStart"/>
      <w:r w:rsidRPr="00F7439B">
        <w:t>недропользования</w:t>
      </w:r>
      <w:proofErr w:type="spellEnd"/>
      <w:r w:rsidRPr="00F7439B">
        <w:t xml:space="preserve"> на территории Республики Мордовия</w:t>
      </w:r>
    </w:p>
    <w:p w:rsidR="00762B82" w:rsidRPr="00F7439B" w:rsidRDefault="00762B82" w:rsidP="00762B82">
      <w:pPr>
        <w:pStyle w:val="a3"/>
        <w:spacing w:line="276" w:lineRule="auto"/>
        <w:ind w:firstLine="709"/>
        <w:jc w:val="both"/>
        <w:rPr>
          <w:b w:val="0"/>
        </w:rPr>
      </w:pPr>
    </w:p>
    <w:p w:rsidR="00326429" w:rsidRPr="00F7439B" w:rsidRDefault="00326429" w:rsidP="00762B82">
      <w:pPr>
        <w:pStyle w:val="a3"/>
        <w:spacing w:line="276" w:lineRule="auto"/>
        <w:ind w:firstLine="709"/>
        <w:jc w:val="both"/>
        <w:rPr>
          <w:b w:val="0"/>
        </w:rPr>
      </w:pPr>
      <w:r w:rsidRPr="00F7439B">
        <w:rPr>
          <w:b w:val="0"/>
        </w:rPr>
        <w:t xml:space="preserve">В соответствии </w:t>
      </w:r>
      <w:r w:rsidR="00C62969" w:rsidRPr="00F7439B">
        <w:rPr>
          <w:b w:val="0"/>
        </w:rPr>
        <w:t>с</w:t>
      </w:r>
      <w:r w:rsidRPr="00F7439B">
        <w:rPr>
          <w:b w:val="0"/>
        </w:rPr>
        <w:t xml:space="preserve"> перечнем </w:t>
      </w:r>
      <w:r w:rsidR="00762B82" w:rsidRPr="00F7439B">
        <w:rPr>
          <w:b w:val="0"/>
        </w:rPr>
        <w:t xml:space="preserve">государственных услуг </w:t>
      </w:r>
      <w:r w:rsidRPr="00F7439B">
        <w:rPr>
          <w:b w:val="0"/>
        </w:rPr>
        <w:t>осуществля</w:t>
      </w:r>
      <w:r w:rsidR="002C6942" w:rsidRPr="00F7439B">
        <w:rPr>
          <w:b w:val="0"/>
        </w:rPr>
        <w:t>ется</w:t>
      </w:r>
      <w:r w:rsidRPr="00F7439B">
        <w:rPr>
          <w:b w:val="0"/>
        </w:rPr>
        <w:t>:</w:t>
      </w:r>
    </w:p>
    <w:p w:rsidR="00326429" w:rsidRPr="00F7439B" w:rsidRDefault="00326429" w:rsidP="00762B82">
      <w:pPr>
        <w:pStyle w:val="a5"/>
        <w:tabs>
          <w:tab w:val="num" w:pos="332"/>
        </w:tabs>
        <w:spacing w:before="0" w:beforeAutospacing="0" w:after="0" w:afterAutospacing="0" w:line="276" w:lineRule="auto"/>
        <w:jc w:val="both"/>
      </w:pPr>
      <w:r w:rsidRPr="00F7439B">
        <w:t xml:space="preserve">1. Сбор, хранение и систематизацию геологической и иной информации о недрах и </w:t>
      </w:r>
      <w:proofErr w:type="spellStart"/>
      <w:r w:rsidRPr="00F7439B">
        <w:t>недропользовании</w:t>
      </w:r>
      <w:proofErr w:type="spellEnd"/>
      <w:r w:rsidRPr="00F7439B">
        <w:t>;</w:t>
      </w:r>
    </w:p>
    <w:p w:rsidR="00326429" w:rsidRPr="00F7439B" w:rsidRDefault="00326429" w:rsidP="00762B82">
      <w:pPr>
        <w:pStyle w:val="a5"/>
        <w:tabs>
          <w:tab w:val="num" w:pos="332"/>
        </w:tabs>
        <w:spacing w:before="0" w:beforeAutospacing="0" w:after="0" w:afterAutospacing="0" w:line="276" w:lineRule="auto"/>
        <w:jc w:val="both"/>
      </w:pPr>
      <w:r w:rsidRPr="00F7439B">
        <w:t>2. Предоставление в пользование геологической информации о недрах.</w:t>
      </w:r>
    </w:p>
    <w:p w:rsidR="00F7439B" w:rsidRDefault="002C6942" w:rsidP="00F7439B">
      <w:pPr>
        <w:spacing w:line="276" w:lineRule="auto"/>
        <w:ind w:firstLine="709"/>
        <w:jc w:val="both"/>
        <w:rPr>
          <w:sz w:val="24"/>
          <w:szCs w:val="24"/>
          <w:lang w:val="en-US"/>
        </w:rPr>
      </w:pPr>
      <w:r w:rsidRPr="00F7439B">
        <w:rPr>
          <w:sz w:val="24"/>
          <w:szCs w:val="24"/>
        </w:rPr>
        <w:t>В Мордовском филиале п</w:t>
      </w:r>
      <w:r w:rsidR="00EF11A6" w:rsidRPr="00F7439B">
        <w:rPr>
          <w:sz w:val="24"/>
          <w:szCs w:val="24"/>
        </w:rPr>
        <w:t>о состоянию</w:t>
      </w:r>
      <w:r w:rsidR="00C340F3" w:rsidRPr="00F7439B">
        <w:rPr>
          <w:sz w:val="24"/>
          <w:szCs w:val="24"/>
        </w:rPr>
        <w:t xml:space="preserve"> на начало </w:t>
      </w:r>
      <w:r w:rsidR="00EF11A6" w:rsidRPr="00F7439B">
        <w:rPr>
          <w:sz w:val="24"/>
          <w:szCs w:val="24"/>
        </w:rPr>
        <w:t>2014 год</w:t>
      </w:r>
      <w:r w:rsidR="00C340F3" w:rsidRPr="00F7439B">
        <w:rPr>
          <w:sz w:val="24"/>
          <w:szCs w:val="24"/>
        </w:rPr>
        <w:t>а</w:t>
      </w:r>
      <w:r w:rsidR="00EF11A6" w:rsidRPr="00F7439B">
        <w:rPr>
          <w:sz w:val="24"/>
          <w:szCs w:val="24"/>
        </w:rPr>
        <w:t xml:space="preserve"> находятся на хранении  36 422 единицы хранения, из них 1693 поступили за отчетный период. </w:t>
      </w:r>
    </w:p>
    <w:p w:rsidR="00F7439B" w:rsidRPr="00F7439B" w:rsidRDefault="00F7439B" w:rsidP="00F7439B">
      <w:pPr>
        <w:spacing w:line="276" w:lineRule="auto"/>
        <w:ind w:firstLine="709"/>
        <w:jc w:val="center"/>
        <w:rPr>
          <w:sz w:val="24"/>
          <w:szCs w:val="24"/>
        </w:rPr>
      </w:pPr>
      <w:r w:rsidRPr="00F7439B">
        <w:rPr>
          <w:sz w:val="24"/>
          <w:szCs w:val="24"/>
        </w:rPr>
        <w:drawing>
          <wp:inline distT="0" distB="0" distL="0" distR="0">
            <wp:extent cx="4572000" cy="1838325"/>
            <wp:effectExtent l="0" t="0" r="0" b="0"/>
            <wp:docPr id="17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3024336"/>
                      <a:chOff x="467544" y="404664"/>
                      <a:chExt cx="8229600" cy="3024336"/>
                    </a:xfrm>
                  </a:grpSpPr>
                  <a:graphicFrame>
                    <a:nvGraphicFramePr>
                      <a:cNvPr id="6" name="Содержимое 5"/>
                      <a:cNvGraphicFramePr>
                        <a:graphicFrameLocks noGrp="1"/>
                      </a:cNvGraphicFramePr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5"/>
                      </a:graphicData>
                    </a:graphic>
                    <a:xfrm>
                      <a:off x="611560" y="1052736"/>
                      <a:ext cx="7848872" cy="2376264"/>
                    </a:xfrm>
                  </a:graphicFrame>
                  <a:sp>
                    <a:nvSpPr>
                      <a:cNvPr id="5" name="Rectangle 3"/>
                      <a:cNvSpPr txBox="1">
                        <a:spLocks/>
                      </a:cNvSpPr>
                    </a:nvSpPr>
                    <a:spPr>
                      <a:xfrm>
                        <a:off x="467544" y="404664"/>
                        <a:ext cx="8229600" cy="50405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rtlCol="0" anchor="b" anchorCtr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auto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ru-RU" sz="2800" b="1" i="0" u="none" strike="noStrike" kern="120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2"/>
                              </a:solidFill>
                              <a:effectLst/>
                              <a:uLnTx/>
                              <a:uFillTx/>
                              <a:latin typeface="Arial" pitchFamily="34" charset="0"/>
                              <a:ea typeface="+mj-ea"/>
                              <a:cs typeface="Arial" pitchFamily="34" charset="0"/>
                            </a:rPr>
                            <a:t>Поступление информационных ресурсов</a:t>
                          </a:r>
                          <a:endParaRPr kumimoji="0" lang="en-US" sz="2800" b="1" i="0" u="none" strike="noStrike" kern="1200" cap="none" spc="0" normalizeH="0" baseline="0" noProof="0" dirty="0">
                            <a:ln>
                              <a:noFill/>
                            </a:ln>
                            <a:solidFill>
                              <a:schemeClr val="tx2"/>
                            </a:solidFill>
                            <a:effectLst/>
                            <a:uLnTx/>
                            <a:uFillTx/>
                            <a:latin typeface="Arial" pitchFamily="34" charset="0"/>
                            <a:ea typeface="+mj-ea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F11A6" w:rsidRPr="00F7439B" w:rsidRDefault="00EF11A6" w:rsidP="00F7439B">
      <w:pPr>
        <w:spacing w:line="276" w:lineRule="auto"/>
        <w:ind w:firstLine="709"/>
        <w:jc w:val="both"/>
        <w:rPr>
          <w:sz w:val="24"/>
          <w:szCs w:val="24"/>
        </w:rPr>
      </w:pPr>
      <w:r w:rsidRPr="00F7439B">
        <w:rPr>
          <w:sz w:val="24"/>
          <w:szCs w:val="24"/>
        </w:rPr>
        <w:t>В состав документов входят  геологические отчеты, лицензии, дополнения к ним, паспорта, учетные карточки, выписки из реестра регистрации работ по ГИН, первичные материалы, формы статистической отчетности, бюллетени геологических материалов, акты проверок «</w:t>
      </w:r>
      <w:proofErr w:type="spellStart"/>
      <w:r w:rsidRPr="00F7439B">
        <w:rPr>
          <w:sz w:val="24"/>
          <w:szCs w:val="24"/>
        </w:rPr>
        <w:t>Росприроднадзора</w:t>
      </w:r>
      <w:proofErr w:type="spellEnd"/>
      <w:r w:rsidRPr="00F7439B">
        <w:rPr>
          <w:sz w:val="24"/>
          <w:szCs w:val="24"/>
        </w:rPr>
        <w:t>» и др.</w:t>
      </w:r>
    </w:p>
    <w:p w:rsidR="00233F0B" w:rsidRPr="00F7439B" w:rsidRDefault="00233F0B" w:rsidP="00233F0B">
      <w:pPr>
        <w:spacing w:line="276" w:lineRule="auto"/>
        <w:jc w:val="center"/>
        <w:rPr>
          <w:sz w:val="24"/>
          <w:szCs w:val="24"/>
          <w:lang w:val="en-US"/>
        </w:rPr>
      </w:pPr>
      <w:r w:rsidRPr="00F7439B">
        <w:rPr>
          <w:sz w:val="24"/>
          <w:szCs w:val="24"/>
        </w:rPr>
        <w:drawing>
          <wp:inline distT="0" distB="0" distL="0" distR="0">
            <wp:extent cx="3883025" cy="1876425"/>
            <wp:effectExtent l="19050" t="0" r="222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3F0B" w:rsidRPr="00F7439B" w:rsidRDefault="00233F0B" w:rsidP="00233F0B">
      <w:pPr>
        <w:spacing w:line="276" w:lineRule="auto"/>
        <w:jc w:val="both"/>
        <w:rPr>
          <w:sz w:val="24"/>
          <w:szCs w:val="24"/>
          <w:lang w:val="en-US"/>
        </w:rPr>
      </w:pPr>
    </w:p>
    <w:p w:rsidR="00C62969" w:rsidRPr="00F7439B" w:rsidRDefault="00EF11A6" w:rsidP="00F7439B">
      <w:pPr>
        <w:spacing w:line="276" w:lineRule="auto"/>
        <w:ind w:firstLine="567"/>
        <w:jc w:val="both"/>
        <w:rPr>
          <w:sz w:val="24"/>
          <w:szCs w:val="24"/>
        </w:rPr>
      </w:pPr>
      <w:r w:rsidRPr="00F7439B">
        <w:rPr>
          <w:sz w:val="24"/>
          <w:szCs w:val="24"/>
        </w:rPr>
        <w:t xml:space="preserve">Принимаемые на хранение </w:t>
      </w:r>
      <w:proofErr w:type="gramStart"/>
      <w:r w:rsidRPr="00F7439B">
        <w:rPr>
          <w:sz w:val="24"/>
          <w:szCs w:val="24"/>
        </w:rPr>
        <w:t>документы</w:t>
      </w:r>
      <w:proofErr w:type="gramEnd"/>
      <w:r w:rsidRPr="00F7439B">
        <w:rPr>
          <w:sz w:val="24"/>
          <w:szCs w:val="24"/>
        </w:rPr>
        <w:t xml:space="preserve"> как в бумажном виде, так и на электронных носителях проходят экспертизу на соответствие требованиям специальных инструкций.</w:t>
      </w:r>
      <w:r w:rsidR="00C62969" w:rsidRPr="00F7439B">
        <w:rPr>
          <w:sz w:val="24"/>
          <w:szCs w:val="24"/>
        </w:rPr>
        <w:t xml:space="preserve"> </w:t>
      </w:r>
    </w:p>
    <w:p w:rsidR="00C62969" w:rsidRPr="00F7439B" w:rsidRDefault="00C62969" w:rsidP="00233F0B">
      <w:pPr>
        <w:spacing w:line="276" w:lineRule="auto"/>
        <w:ind w:firstLine="720"/>
        <w:jc w:val="both"/>
        <w:rPr>
          <w:sz w:val="24"/>
          <w:szCs w:val="24"/>
        </w:rPr>
      </w:pPr>
      <w:r w:rsidRPr="00F7439B">
        <w:rPr>
          <w:sz w:val="24"/>
          <w:szCs w:val="24"/>
        </w:rPr>
        <w:t xml:space="preserve">Как </w:t>
      </w:r>
      <w:proofErr w:type="gramStart"/>
      <w:r w:rsidRPr="00F7439B">
        <w:rPr>
          <w:sz w:val="24"/>
          <w:szCs w:val="24"/>
        </w:rPr>
        <w:t>отмечалось ранее  наполненность стеллажей хранилища составляет</w:t>
      </w:r>
      <w:proofErr w:type="gramEnd"/>
      <w:r w:rsidRPr="00F7439B">
        <w:rPr>
          <w:sz w:val="24"/>
          <w:szCs w:val="24"/>
        </w:rPr>
        <w:t xml:space="preserve"> более 90 процентов.</w:t>
      </w:r>
      <w:r w:rsidR="00233F0B" w:rsidRPr="00F7439B">
        <w:rPr>
          <w:sz w:val="24"/>
          <w:szCs w:val="24"/>
        </w:rPr>
        <w:t xml:space="preserve"> </w:t>
      </w:r>
    </w:p>
    <w:p w:rsidR="00194707" w:rsidRPr="00F7439B" w:rsidRDefault="00194707" w:rsidP="00233F0B">
      <w:pPr>
        <w:spacing w:line="276" w:lineRule="auto"/>
        <w:jc w:val="both"/>
        <w:rPr>
          <w:sz w:val="24"/>
          <w:szCs w:val="24"/>
        </w:rPr>
      </w:pPr>
      <w:proofErr w:type="gramStart"/>
      <w:r w:rsidRPr="00F7439B">
        <w:rPr>
          <w:sz w:val="24"/>
          <w:szCs w:val="24"/>
        </w:rPr>
        <w:t>Согласно «Плана</w:t>
      </w:r>
      <w:proofErr w:type="gramEnd"/>
      <w:r w:rsidRPr="00F7439B">
        <w:rPr>
          <w:sz w:val="24"/>
          <w:szCs w:val="24"/>
        </w:rPr>
        <w:t xml:space="preserve"> работ» на 2013 год нами проводится работа по оцифровке фондовых геологических материалов, </w:t>
      </w:r>
      <w:proofErr w:type="spellStart"/>
      <w:r w:rsidRPr="00F7439B">
        <w:rPr>
          <w:sz w:val="24"/>
          <w:szCs w:val="24"/>
        </w:rPr>
        <w:t>сканобразы</w:t>
      </w:r>
      <w:proofErr w:type="spellEnd"/>
      <w:r w:rsidRPr="00F7439B">
        <w:rPr>
          <w:sz w:val="24"/>
          <w:szCs w:val="24"/>
        </w:rPr>
        <w:t xml:space="preserve"> проверяются, записываются на МНЗ с сопроводительными документами и включаются в фонд машинных носителей (Библиотеку МНЗ). </w:t>
      </w:r>
    </w:p>
    <w:p w:rsidR="00194707" w:rsidRPr="00F7439B" w:rsidRDefault="00194707" w:rsidP="00194707">
      <w:pPr>
        <w:spacing w:line="276" w:lineRule="auto"/>
        <w:ind w:firstLine="720"/>
        <w:jc w:val="both"/>
        <w:rPr>
          <w:sz w:val="24"/>
          <w:szCs w:val="24"/>
        </w:rPr>
      </w:pPr>
      <w:r w:rsidRPr="00F7439B">
        <w:rPr>
          <w:sz w:val="24"/>
          <w:szCs w:val="24"/>
        </w:rPr>
        <w:lastRenderedPageBreak/>
        <w:t xml:space="preserve">В филиале постоянно функционируют </w:t>
      </w:r>
      <w:r w:rsidR="003F6BFD" w:rsidRPr="00F7439B">
        <w:rPr>
          <w:sz w:val="24"/>
          <w:szCs w:val="24"/>
        </w:rPr>
        <w:t>2</w:t>
      </w:r>
      <w:r w:rsidRPr="00F7439B">
        <w:rPr>
          <w:sz w:val="24"/>
          <w:szCs w:val="24"/>
        </w:rPr>
        <w:t xml:space="preserve">  рабочих места оператора по сканированию фондовых материалов. </w:t>
      </w:r>
    </w:p>
    <w:p w:rsidR="00194707" w:rsidRPr="00F7439B" w:rsidRDefault="00194707" w:rsidP="00194707">
      <w:pPr>
        <w:spacing w:line="276" w:lineRule="auto"/>
        <w:ind w:firstLine="720"/>
        <w:jc w:val="both"/>
        <w:rPr>
          <w:sz w:val="24"/>
          <w:szCs w:val="24"/>
        </w:rPr>
      </w:pPr>
      <w:r w:rsidRPr="00F7439B">
        <w:rPr>
          <w:sz w:val="24"/>
          <w:szCs w:val="24"/>
        </w:rPr>
        <w:t xml:space="preserve">За 2013 год нами были оцифрованы все вновь выданные лицензии, фондовые </w:t>
      </w:r>
      <w:proofErr w:type="gramStart"/>
      <w:r w:rsidRPr="00F7439B">
        <w:rPr>
          <w:sz w:val="24"/>
          <w:szCs w:val="24"/>
        </w:rPr>
        <w:t>отчеты</w:t>
      </w:r>
      <w:proofErr w:type="gramEnd"/>
      <w:r w:rsidRPr="00F7439B">
        <w:rPr>
          <w:sz w:val="24"/>
          <w:szCs w:val="24"/>
        </w:rPr>
        <w:t xml:space="preserve"> включенные в план по сканированию, а так же запрашивались отчеты, описывающие геологические работы, на территории Республики Мордовия, но отсутствующие в фондах филиала, также оцифровывались формы № 4-ЛС. </w:t>
      </w:r>
    </w:p>
    <w:p w:rsidR="00194707" w:rsidRPr="00F7439B" w:rsidRDefault="00194707" w:rsidP="00194707">
      <w:pPr>
        <w:spacing w:line="276" w:lineRule="auto"/>
        <w:ind w:firstLine="720"/>
        <w:jc w:val="both"/>
        <w:rPr>
          <w:sz w:val="24"/>
          <w:szCs w:val="24"/>
          <w:lang w:val="en-US"/>
        </w:rPr>
      </w:pPr>
      <w:r w:rsidRPr="00F7439B">
        <w:rPr>
          <w:sz w:val="24"/>
          <w:szCs w:val="24"/>
        </w:rPr>
        <w:t>За отчетный период в цифровой вид были переведено 215 единиц хранения. Общий объем оцифрованной, проверенной и записанной на МНЗ информации составил: 19 922 страницы формата А</w:t>
      </w:r>
      <w:proofErr w:type="gramStart"/>
      <w:r w:rsidRPr="00F7439B">
        <w:rPr>
          <w:sz w:val="24"/>
          <w:szCs w:val="24"/>
        </w:rPr>
        <w:t>4</w:t>
      </w:r>
      <w:proofErr w:type="gramEnd"/>
      <w:r w:rsidRPr="00F7439B">
        <w:rPr>
          <w:sz w:val="24"/>
          <w:szCs w:val="24"/>
        </w:rPr>
        <w:t xml:space="preserve">  и 29 папок с 783 листами  графических изображений.  </w:t>
      </w:r>
    </w:p>
    <w:p w:rsidR="00233F0B" w:rsidRPr="00F7439B" w:rsidRDefault="00233F0B" w:rsidP="00233F0B">
      <w:pPr>
        <w:spacing w:line="276" w:lineRule="auto"/>
        <w:jc w:val="center"/>
        <w:rPr>
          <w:sz w:val="24"/>
          <w:szCs w:val="24"/>
          <w:lang w:val="en-US"/>
        </w:rPr>
      </w:pPr>
      <w:r w:rsidRPr="00F7439B">
        <w:rPr>
          <w:sz w:val="24"/>
          <w:szCs w:val="24"/>
          <w:lang w:val="en-US"/>
        </w:rPr>
        <w:drawing>
          <wp:inline distT="0" distB="0" distL="0" distR="0">
            <wp:extent cx="4264025" cy="2105025"/>
            <wp:effectExtent l="0" t="0" r="3175" b="0"/>
            <wp:docPr id="9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307608"/>
                      <a:chOff x="533400" y="457200"/>
                      <a:chExt cx="8077200" cy="5307608"/>
                    </a:xfrm>
                  </a:grpSpPr>
                  <a:sp>
                    <a:nvSpPr>
                      <a:cNvPr id="3" name="Заголовок 2"/>
                      <a:cNvSpPr>
                        <a:spLocks noGrp="1"/>
                      </a:cNvSpPr>
                    </a:nvSpPr>
                    <a:spPr>
                      <a:xfrm>
                        <a:off x="533400" y="457200"/>
                        <a:ext cx="8077200" cy="107542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rtlCol="0" anchor="b" anchorCtr="0">
                          <a:normAutofit/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sz="4000" kern="12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sz="3200" dirty="0" smtClean="0">
                              <a:latin typeface="Arial" pitchFamily="34" charset="0"/>
                              <a:cs typeface="Arial" pitchFamily="34" charset="0"/>
                            </a:rPr>
                            <a:t>Перевод геологических материалов в цифровой вид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graphicFrame>
                    <a:nvGraphicFramePr>
                      <a:cNvPr id="4" name="Диаграмма 3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7"/>
                      </a:graphicData>
                    </a:graphic>
                    <a:xfrm>
                      <a:off x="899592" y="1700808"/>
                      <a:ext cx="7632848" cy="4064000"/>
                    </a:xfrm>
                  </a:graphicFrame>
                </lc:lockedCanvas>
              </a:graphicData>
            </a:graphic>
          </wp:inline>
        </w:drawing>
      </w:r>
    </w:p>
    <w:p w:rsidR="00194707" w:rsidRPr="00F7439B" w:rsidRDefault="00194707" w:rsidP="00194707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39B">
        <w:rPr>
          <w:rFonts w:ascii="Times New Roman" w:hAnsi="Times New Roman"/>
          <w:sz w:val="24"/>
          <w:szCs w:val="24"/>
        </w:rPr>
        <w:t xml:space="preserve">В отчетном периоде составлены сводные балансы запасов твердых полезных ископаемых по 11 видам сырья и торфа.  </w:t>
      </w:r>
      <w:proofErr w:type="gramStart"/>
      <w:r w:rsidRPr="00F7439B">
        <w:rPr>
          <w:rFonts w:ascii="Times New Roman" w:hAnsi="Times New Roman"/>
          <w:sz w:val="24"/>
          <w:szCs w:val="24"/>
        </w:rPr>
        <w:t xml:space="preserve">В их числе: </w:t>
      </w:r>
      <w:proofErr w:type="spellStart"/>
      <w:r w:rsidRPr="00F7439B">
        <w:rPr>
          <w:rFonts w:ascii="Times New Roman" w:hAnsi="Times New Roman"/>
          <w:sz w:val="24"/>
          <w:szCs w:val="24"/>
        </w:rPr>
        <w:t>необщераспространенные</w:t>
      </w:r>
      <w:proofErr w:type="spellEnd"/>
      <w:r w:rsidRPr="00F7439B">
        <w:rPr>
          <w:rFonts w:ascii="Times New Roman" w:hAnsi="Times New Roman"/>
          <w:sz w:val="24"/>
          <w:szCs w:val="24"/>
        </w:rPr>
        <w:t xml:space="preserve"> полезные ископаемые – мергельно-меловые породы и опоки для производства цемента, глины тугоплавкие, глинистые породы для производства минеральных красок, торф (лечебные грязи); общераспространенные полезные ископаемые – доломит, известняк, песчаник для производства щебня (строительные камни), пески строительные, мел, диатомит, карбонатные породы для известкования почв, глины и суглинки для производства кирпича, глины для производства керамзита, торф на топливо и удобрение. </w:t>
      </w:r>
      <w:proofErr w:type="gramEnd"/>
    </w:p>
    <w:p w:rsidR="00194707" w:rsidRPr="00F7439B" w:rsidRDefault="00194707" w:rsidP="00194707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39B">
        <w:rPr>
          <w:rFonts w:ascii="Times New Roman" w:hAnsi="Times New Roman"/>
          <w:sz w:val="24"/>
          <w:szCs w:val="24"/>
        </w:rPr>
        <w:t xml:space="preserve">Всего территориальным балансом запасов твердых полезных ископаемых в 2013 году  учтено 231 месторождение. </w:t>
      </w:r>
    </w:p>
    <w:p w:rsidR="00194707" w:rsidRPr="00F7439B" w:rsidRDefault="00194707" w:rsidP="00194707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39B">
        <w:rPr>
          <w:rFonts w:ascii="Times New Roman" w:hAnsi="Times New Roman"/>
          <w:sz w:val="24"/>
          <w:szCs w:val="24"/>
        </w:rPr>
        <w:t xml:space="preserve">Для составления проектов сводных балансов запасов использованы формы государственной статистической отчетности 5-гр и 70-тп за 2013 год, отчеты о результатах геологоразведочных работ и протоколы ГЭКЗО </w:t>
      </w:r>
      <w:proofErr w:type="spellStart"/>
      <w:r w:rsidRPr="00F7439B">
        <w:rPr>
          <w:rFonts w:ascii="Times New Roman" w:hAnsi="Times New Roman"/>
          <w:sz w:val="24"/>
          <w:szCs w:val="24"/>
        </w:rPr>
        <w:t>Минлесхоза</w:t>
      </w:r>
      <w:proofErr w:type="spellEnd"/>
      <w:r w:rsidRPr="00F7439B">
        <w:rPr>
          <w:rFonts w:ascii="Times New Roman" w:hAnsi="Times New Roman"/>
          <w:sz w:val="24"/>
          <w:szCs w:val="24"/>
        </w:rPr>
        <w:t xml:space="preserve"> РМ  об утверждения запасов месторождений общераспространенных полезных ископаемых поступившие на хранение. </w:t>
      </w:r>
    </w:p>
    <w:p w:rsidR="00194707" w:rsidRPr="00F7439B" w:rsidRDefault="00194707" w:rsidP="00194707">
      <w:pPr>
        <w:spacing w:line="276" w:lineRule="auto"/>
        <w:ind w:firstLine="720"/>
        <w:jc w:val="both"/>
        <w:rPr>
          <w:sz w:val="24"/>
          <w:szCs w:val="24"/>
        </w:rPr>
      </w:pPr>
      <w:r w:rsidRPr="00F7439B">
        <w:rPr>
          <w:sz w:val="24"/>
          <w:szCs w:val="24"/>
        </w:rPr>
        <w:t xml:space="preserve">Основным источником хозяйственно-питьевого и производственного водоснабжения Республики Мордовия являются подземные воды. Все водоснабжение республики базируется на подземных водах пермско-каменноугольного карбонатного комплекса. Территория Республики Мордовия расположена в пределах двух артезианских бассейнов — </w:t>
      </w:r>
      <w:proofErr w:type="spellStart"/>
      <w:proofErr w:type="gramStart"/>
      <w:r w:rsidRPr="00F7439B">
        <w:rPr>
          <w:sz w:val="24"/>
          <w:szCs w:val="24"/>
        </w:rPr>
        <w:t>Волго-Сурского</w:t>
      </w:r>
      <w:proofErr w:type="spellEnd"/>
      <w:proofErr w:type="gramEnd"/>
      <w:r w:rsidRPr="00F7439B">
        <w:rPr>
          <w:sz w:val="24"/>
          <w:szCs w:val="24"/>
        </w:rPr>
        <w:t xml:space="preserve"> и </w:t>
      </w:r>
      <w:proofErr w:type="spellStart"/>
      <w:r w:rsidRPr="00F7439B">
        <w:rPr>
          <w:sz w:val="24"/>
          <w:szCs w:val="24"/>
        </w:rPr>
        <w:t>Приволжско-Хоперского</w:t>
      </w:r>
      <w:proofErr w:type="spellEnd"/>
      <w:r w:rsidRPr="00F7439B">
        <w:rPr>
          <w:sz w:val="24"/>
          <w:szCs w:val="24"/>
        </w:rPr>
        <w:t>.</w:t>
      </w:r>
    </w:p>
    <w:p w:rsidR="00194707" w:rsidRPr="00F7439B" w:rsidRDefault="00194707" w:rsidP="00194707">
      <w:pPr>
        <w:spacing w:line="276" w:lineRule="auto"/>
        <w:ind w:firstLine="720"/>
        <w:jc w:val="both"/>
        <w:rPr>
          <w:sz w:val="24"/>
          <w:szCs w:val="24"/>
        </w:rPr>
      </w:pPr>
      <w:r w:rsidRPr="00F7439B">
        <w:rPr>
          <w:sz w:val="24"/>
          <w:szCs w:val="24"/>
        </w:rPr>
        <w:t xml:space="preserve">На территории Мордовии разведано 11 месторождений пресных подземных вод и 2 месторождения  минеральных вод различных типов. </w:t>
      </w:r>
    </w:p>
    <w:p w:rsidR="00C62969" w:rsidRPr="00F7439B" w:rsidRDefault="00C62969" w:rsidP="00C62969">
      <w:pPr>
        <w:spacing w:line="276" w:lineRule="auto"/>
        <w:ind w:firstLine="720"/>
        <w:jc w:val="both"/>
        <w:rPr>
          <w:sz w:val="24"/>
          <w:szCs w:val="24"/>
          <w:lang w:val="en-US"/>
        </w:rPr>
      </w:pPr>
      <w:r w:rsidRPr="00F7439B">
        <w:rPr>
          <w:sz w:val="24"/>
          <w:szCs w:val="24"/>
        </w:rPr>
        <w:t>В рамках работ по ведению информационных баз данных на территории субъекта РФ проведена работа по 100% наполнению всех</w:t>
      </w:r>
      <w:r w:rsidR="00194707" w:rsidRPr="00F7439B">
        <w:rPr>
          <w:sz w:val="24"/>
          <w:szCs w:val="24"/>
        </w:rPr>
        <w:t xml:space="preserve"> блоков</w:t>
      </w:r>
      <w:r w:rsidRPr="00F7439B">
        <w:rPr>
          <w:sz w:val="24"/>
          <w:szCs w:val="24"/>
        </w:rPr>
        <w:t xml:space="preserve"> ИС «Недра», динамику </w:t>
      </w:r>
      <w:r w:rsidR="00D0626D" w:rsidRPr="00F7439B">
        <w:rPr>
          <w:sz w:val="24"/>
          <w:szCs w:val="24"/>
        </w:rPr>
        <w:t xml:space="preserve">наполнения базы </w:t>
      </w:r>
      <w:r w:rsidRPr="00F7439B">
        <w:rPr>
          <w:sz w:val="24"/>
          <w:szCs w:val="24"/>
        </w:rPr>
        <w:t>можно проследить на следующем слайде:</w:t>
      </w:r>
    </w:p>
    <w:p w:rsidR="00233F0B" w:rsidRPr="00F7439B" w:rsidRDefault="00233F0B" w:rsidP="00233F0B">
      <w:pPr>
        <w:spacing w:line="276" w:lineRule="auto"/>
        <w:ind w:firstLine="720"/>
        <w:jc w:val="center"/>
        <w:rPr>
          <w:sz w:val="24"/>
          <w:szCs w:val="24"/>
          <w:lang w:val="en-US"/>
        </w:rPr>
      </w:pPr>
      <w:r w:rsidRPr="00F7439B">
        <w:rPr>
          <w:sz w:val="24"/>
          <w:szCs w:val="24"/>
          <w:lang w:val="en-US"/>
        </w:rPr>
        <w:lastRenderedPageBreak/>
        <w:drawing>
          <wp:inline distT="0" distB="0" distL="0" distR="0">
            <wp:extent cx="4371975" cy="2828925"/>
            <wp:effectExtent l="0" t="0" r="0" b="0"/>
            <wp:docPr id="10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52120"/>
                      <a:chOff x="533400" y="457200"/>
                      <a:chExt cx="8077200" cy="5852120"/>
                    </a:xfrm>
                  </a:grpSpPr>
                  <a:sp>
                    <a:nvSpPr>
                      <a:cNvPr id="4" name="Rectangle 3"/>
                      <a:cNvSpPr>
                        <a:spLocks noGrp="1"/>
                      </a:cNvSpPr>
                    </a:nvSpPr>
                    <a:spPr>
                      <a:xfrm>
                        <a:off x="533400" y="457200"/>
                        <a:ext cx="8077200" cy="66754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rtlCol="0" anchor="b" anchorCtr="0">
                          <a:normAutofit fontScale="90000"/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sz="4000" kern="12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algn="ctr"/>
                          <a:r>
                            <a:rPr lang="ru-RU" b="1" dirty="0" smtClean="0">
                              <a:latin typeface="Arial" pitchFamily="34" charset="0"/>
                              <a:cs typeface="Arial" pitchFamily="34" charset="0"/>
                            </a:rPr>
                            <a:t>ИС«Недра»</a:t>
                          </a:r>
                          <a:endParaRPr lang="en-US" b="1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graphicFrame>
                    <a:nvGraphicFramePr>
                      <a:cNvPr id="13" name="Содержимое 5"/>
                      <a:cNvGraphicFramePr>
                        <a:graphicFrameLocks/>
                      </a:cNvGraphicFramePr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8"/>
                      </a:graphicData>
                    </a:graphic>
                    <a:xfrm>
                      <a:off x="611560" y="1196752"/>
                      <a:ext cx="7920880" cy="5112568"/>
                    </a:xfrm>
                  </a:graphicFrame>
                </lc:lockedCanvas>
              </a:graphicData>
            </a:graphic>
          </wp:inline>
        </w:drawing>
      </w:r>
    </w:p>
    <w:p w:rsidR="00BA5A0A" w:rsidRPr="00F7439B" w:rsidRDefault="00BA5A0A" w:rsidP="00BA5A0A">
      <w:pPr>
        <w:spacing w:line="276" w:lineRule="auto"/>
        <w:ind w:firstLine="720"/>
        <w:jc w:val="both"/>
        <w:rPr>
          <w:sz w:val="24"/>
          <w:szCs w:val="24"/>
        </w:rPr>
      </w:pPr>
      <w:r w:rsidRPr="00F7439B">
        <w:rPr>
          <w:sz w:val="24"/>
          <w:szCs w:val="24"/>
        </w:rPr>
        <w:t>По мере поступления материалов проводятся работы по учету всех видов геологической изученности:</w:t>
      </w:r>
    </w:p>
    <w:p w:rsidR="00BA5A0A" w:rsidRPr="00F7439B" w:rsidRDefault="00BA5A0A" w:rsidP="00BA5A0A">
      <w:pPr>
        <w:numPr>
          <w:ilvl w:val="0"/>
          <w:numId w:val="1"/>
        </w:numPr>
        <w:tabs>
          <w:tab w:val="num" w:pos="1080"/>
        </w:tabs>
        <w:spacing w:line="276" w:lineRule="auto"/>
        <w:jc w:val="both"/>
        <w:rPr>
          <w:sz w:val="24"/>
          <w:szCs w:val="24"/>
        </w:rPr>
      </w:pPr>
      <w:r w:rsidRPr="00F7439B">
        <w:rPr>
          <w:sz w:val="24"/>
          <w:szCs w:val="24"/>
        </w:rPr>
        <w:t>составляются учетные и справочно-информационные материалы, отражающие состояние изученности территории;</w:t>
      </w:r>
    </w:p>
    <w:p w:rsidR="00BA5A0A" w:rsidRPr="00F7439B" w:rsidRDefault="00BA5A0A" w:rsidP="00BA5A0A">
      <w:pPr>
        <w:numPr>
          <w:ilvl w:val="0"/>
          <w:numId w:val="1"/>
        </w:numPr>
        <w:tabs>
          <w:tab w:val="num" w:pos="1080"/>
        </w:tabs>
        <w:spacing w:line="276" w:lineRule="auto"/>
        <w:jc w:val="both"/>
        <w:rPr>
          <w:sz w:val="24"/>
          <w:szCs w:val="24"/>
        </w:rPr>
      </w:pPr>
      <w:r w:rsidRPr="00F7439B">
        <w:rPr>
          <w:sz w:val="24"/>
          <w:szCs w:val="24"/>
        </w:rPr>
        <w:t>готовятся материалы ежегодного пополнения изученности для предоставления в ФГУ НПП «</w:t>
      </w:r>
      <w:proofErr w:type="spellStart"/>
      <w:r w:rsidRPr="00F7439B">
        <w:rPr>
          <w:sz w:val="24"/>
          <w:szCs w:val="24"/>
        </w:rPr>
        <w:t>Росгеолфонд</w:t>
      </w:r>
      <w:proofErr w:type="spellEnd"/>
      <w:r w:rsidRPr="00F7439B">
        <w:rPr>
          <w:sz w:val="24"/>
          <w:szCs w:val="24"/>
        </w:rPr>
        <w:t>»</w:t>
      </w:r>
    </w:p>
    <w:p w:rsidR="00BA5A0A" w:rsidRPr="00F7439B" w:rsidRDefault="00BA5A0A" w:rsidP="00BA5A0A">
      <w:pPr>
        <w:spacing w:line="276" w:lineRule="auto"/>
        <w:ind w:firstLine="720"/>
        <w:jc w:val="both"/>
        <w:rPr>
          <w:sz w:val="24"/>
          <w:szCs w:val="24"/>
        </w:rPr>
      </w:pPr>
      <w:r w:rsidRPr="00F7439B">
        <w:rPr>
          <w:sz w:val="24"/>
          <w:szCs w:val="24"/>
        </w:rPr>
        <w:t>Общее количество материалов изученности по состоянию на 01.01.2014 г. составляет 552 единицы хранения (461 учетная карточка и 40 картограмм и контурных карт основного фонда в бумажном виде, 9 картограмм записаны на 1 оптический диск основного фонда и 1 оптический диск дуплетного фонда и 33 учетные карточки дуплетного фонда).</w:t>
      </w:r>
    </w:p>
    <w:p w:rsidR="00233F0B" w:rsidRPr="00F7439B" w:rsidRDefault="00233F0B" w:rsidP="00233F0B">
      <w:pPr>
        <w:spacing w:line="276" w:lineRule="auto"/>
        <w:jc w:val="both"/>
        <w:rPr>
          <w:sz w:val="24"/>
          <w:szCs w:val="24"/>
          <w:lang w:val="en-US"/>
        </w:rPr>
      </w:pPr>
    </w:p>
    <w:p w:rsidR="00BA5A0A" w:rsidRPr="00F7439B" w:rsidRDefault="00BA5A0A" w:rsidP="00233F0B">
      <w:pPr>
        <w:spacing w:line="276" w:lineRule="auto"/>
        <w:jc w:val="both"/>
        <w:rPr>
          <w:sz w:val="24"/>
          <w:szCs w:val="24"/>
        </w:rPr>
      </w:pPr>
      <w:r w:rsidRPr="00F7439B">
        <w:rPr>
          <w:sz w:val="24"/>
          <w:szCs w:val="24"/>
        </w:rPr>
        <w:t>В настоящее время проводится корректировка содержания информации карточек изученности прошлых лет (ретро-массива).</w:t>
      </w:r>
    </w:p>
    <w:p w:rsidR="00194707" w:rsidRPr="00F7439B" w:rsidRDefault="00194707" w:rsidP="00F7439B">
      <w:pPr>
        <w:spacing w:line="276" w:lineRule="auto"/>
        <w:ind w:firstLine="720"/>
        <w:jc w:val="center"/>
        <w:rPr>
          <w:sz w:val="24"/>
          <w:szCs w:val="24"/>
        </w:rPr>
      </w:pPr>
      <w:r w:rsidRPr="00F7439B">
        <w:rPr>
          <w:sz w:val="24"/>
          <w:szCs w:val="24"/>
        </w:rPr>
        <w:t xml:space="preserve">Динамика наполнения базы данных всех видов геологической изученности </w:t>
      </w:r>
      <w:proofErr w:type="spellStart"/>
      <w:r w:rsidRPr="00F7439B">
        <w:rPr>
          <w:sz w:val="24"/>
          <w:szCs w:val="24"/>
        </w:rPr>
        <w:t>Диафонд</w:t>
      </w:r>
      <w:proofErr w:type="spellEnd"/>
      <w:r w:rsidRPr="00F7439B">
        <w:rPr>
          <w:sz w:val="24"/>
          <w:szCs w:val="24"/>
        </w:rPr>
        <w:t xml:space="preserve"> по Республике Мордовия приведена на следующем слайде:</w:t>
      </w:r>
      <w:r w:rsidR="00F7439B" w:rsidRPr="00F7439B">
        <w:rPr>
          <w:sz w:val="24"/>
          <w:szCs w:val="24"/>
        </w:rPr>
        <w:t xml:space="preserve"> </w:t>
      </w:r>
      <w:r w:rsidR="00F7439B" w:rsidRPr="00F7439B">
        <w:rPr>
          <w:sz w:val="24"/>
          <w:szCs w:val="24"/>
        </w:rPr>
        <w:drawing>
          <wp:inline distT="0" distB="0" distL="0" distR="0">
            <wp:extent cx="5076825" cy="2752725"/>
            <wp:effectExtent l="0" t="0" r="0" b="0"/>
            <wp:docPr id="15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61337" cy="5348288"/>
                      <a:chOff x="468313" y="457200"/>
                      <a:chExt cx="8161337" cy="5348288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533400" y="457200"/>
                        <a:ext cx="8077200" cy="107542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rtlCol="0" anchor="b" anchorCtr="0">
                          <a:normAutofit/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sz="4000" kern="12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sz="3200" dirty="0" smtClean="0">
                              <a:latin typeface="Arial" pitchFamily="34" charset="0"/>
                              <a:cs typeface="Arial" pitchFamily="34" charset="0"/>
                            </a:rPr>
                            <a:t>Геологическая изученность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68313" y="1628775"/>
                        <a:ext cx="8161337" cy="4176713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321ED5" w:rsidRPr="00F7439B" w:rsidRDefault="00321ED5" w:rsidP="00762B82">
      <w:pPr>
        <w:pStyle w:val="22"/>
        <w:spacing w:after="0" w:line="276" w:lineRule="auto"/>
        <w:ind w:firstLine="720"/>
        <w:jc w:val="both"/>
        <w:rPr>
          <w:sz w:val="24"/>
          <w:szCs w:val="24"/>
          <w:highlight w:val="yellow"/>
        </w:rPr>
      </w:pPr>
      <w:r w:rsidRPr="00F7439B">
        <w:rPr>
          <w:sz w:val="24"/>
          <w:szCs w:val="24"/>
        </w:rPr>
        <w:t xml:space="preserve">С целью сбора геологической информации, в соответствии со сроками сдачи отчетов о результатах работ по ГИН, определенных согласно выпискам из реестра </w:t>
      </w:r>
      <w:r w:rsidRPr="00F7439B">
        <w:rPr>
          <w:sz w:val="24"/>
          <w:szCs w:val="24"/>
        </w:rPr>
        <w:lastRenderedPageBreak/>
        <w:t xml:space="preserve">государственной регистрации работ, в адреса </w:t>
      </w:r>
      <w:proofErr w:type="spellStart"/>
      <w:r w:rsidRPr="00F7439B">
        <w:rPr>
          <w:sz w:val="24"/>
          <w:szCs w:val="24"/>
        </w:rPr>
        <w:t>недропользователей</w:t>
      </w:r>
      <w:proofErr w:type="spellEnd"/>
      <w:r w:rsidRPr="00F7439B">
        <w:rPr>
          <w:sz w:val="24"/>
          <w:szCs w:val="24"/>
        </w:rPr>
        <w:t xml:space="preserve"> и исполнителей работ </w:t>
      </w:r>
      <w:r w:rsidR="00C31744" w:rsidRPr="00F7439B">
        <w:rPr>
          <w:sz w:val="24"/>
          <w:szCs w:val="24"/>
        </w:rPr>
        <w:t xml:space="preserve">ежеквартально </w:t>
      </w:r>
      <w:r w:rsidRPr="00F7439B">
        <w:rPr>
          <w:sz w:val="24"/>
          <w:szCs w:val="24"/>
        </w:rPr>
        <w:t>направл</w:t>
      </w:r>
      <w:r w:rsidR="00C31744" w:rsidRPr="00F7439B">
        <w:rPr>
          <w:sz w:val="24"/>
          <w:szCs w:val="24"/>
        </w:rPr>
        <w:t xml:space="preserve">яются </w:t>
      </w:r>
      <w:r w:rsidRPr="00F7439B">
        <w:rPr>
          <w:sz w:val="24"/>
          <w:szCs w:val="24"/>
        </w:rPr>
        <w:t>информационны</w:t>
      </w:r>
      <w:r w:rsidR="00C31744" w:rsidRPr="00F7439B">
        <w:rPr>
          <w:sz w:val="24"/>
          <w:szCs w:val="24"/>
        </w:rPr>
        <w:t>е</w:t>
      </w:r>
      <w:r w:rsidRPr="00F7439B">
        <w:rPr>
          <w:sz w:val="24"/>
          <w:szCs w:val="24"/>
        </w:rPr>
        <w:t xml:space="preserve"> пис</w:t>
      </w:r>
      <w:r w:rsidR="00262A2D" w:rsidRPr="00F7439B">
        <w:rPr>
          <w:sz w:val="24"/>
          <w:szCs w:val="24"/>
        </w:rPr>
        <w:t>ь</w:t>
      </w:r>
      <w:r w:rsidRPr="00F7439B">
        <w:rPr>
          <w:sz w:val="24"/>
          <w:szCs w:val="24"/>
        </w:rPr>
        <w:t>м</w:t>
      </w:r>
      <w:r w:rsidR="00C31744" w:rsidRPr="00F7439B">
        <w:rPr>
          <w:sz w:val="24"/>
          <w:szCs w:val="24"/>
        </w:rPr>
        <w:t>а</w:t>
      </w:r>
      <w:r w:rsidRPr="00F7439B">
        <w:rPr>
          <w:sz w:val="24"/>
          <w:szCs w:val="24"/>
        </w:rPr>
        <w:t xml:space="preserve"> о наличии задолженности по сдаче отчетов. </w:t>
      </w:r>
    </w:p>
    <w:p w:rsidR="00321ED5" w:rsidRPr="00F7439B" w:rsidRDefault="00321ED5" w:rsidP="00762B82">
      <w:pPr>
        <w:pStyle w:val="22"/>
        <w:spacing w:after="0" w:line="276" w:lineRule="auto"/>
        <w:ind w:firstLine="720"/>
        <w:jc w:val="both"/>
        <w:rPr>
          <w:sz w:val="24"/>
          <w:szCs w:val="24"/>
          <w:lang w:val="en-US"/>
        </w:rPr>
      </w:pPr>
      <w:r w:rsidRPr="00F7439B">
        <w:rPr>
          <w:sz w:val="24"/>
          <w:szCs w:val="24"/>
        </w:rPr>
        <w:t xml:space="preserve">Для обеспечения поступления  форм статистической отчетности,  в адреса </w:t>
      </w:r>
      <w:proofErr w:type="spellStart"/>
      <w:r w:rsidRPr="00F7439B">
        <w:rPr>
          <w:sz w:val="24"/>
          <w:szCs w:val="24"/>
        </w:rPr>
        <w:t>предприятий-недропользователей</w:t>
      </w:r>
      <w:proofErr w:type="spellEnd"/>
      <w:r w:rsidRPr="00F7439B">
        <w:rPr>
          <w:sz w:val="24"/>
          <w:szCs w:val="24"/>
        </w:rPr>
        <w:t xml:space="preserve"> имеющих лицензии на добычу твердых полезных ископаемых, были своевременно направлены соответствующие запросы.</w:t>
      </w:r>
    </w:p>
    <w:p w:rsidR="00F7439B" w:rsidRPr="00F7439B" w:rsidRDefault="00F7439B" w:rsidP="00F7439B">
      <w:pPr>
        <w:pStyle w:val="22"/>
        <w:spacing w:after="0" w:line="276" w:lineRule="auto"/>
        <w:jc w:val="center"/>
        <w:rPr>
          <w:sz w:val="24"/>
          <w:szCs w:val="24"/>
          <w:lang w:val="en-US"/>
        </w:rPr>
      </w:pPr>
      <w:r w:rsidRPr="00F7439B">
        <w:rPr>
          <w:sz w:val="24"/>
          <w:szCs w:val="24"/>
          <w:lang w:val="en-US"/>
        </w:rPr>
        <w:drawing>
          <wp:inline distT="0" distB="0" distL="0" distR="0">
            <wp:extent cx="5181600" cy="2324100"/>
            <wp:effectExtent l="0" t="0" r="0" b="0"/>
            <wp:docPr id="16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54987" cy="4916488"/>
                      <a:chOff x="468313" y="457200"/>
                      <a:chExt cx="8154987" cy="4916488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533400" y="457200"/>
                        <a:ext cx="8077200" cy="107542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rtlCol="0" anchor="b" anchorCtr="0">
                          <a:normAutofit/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sz="4000" kern="12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sz="2800" dirty="0" smtClean="0"/>
                            <a:t>Предоставление информации в ФГУ НПП «</a:t>
                          </a:r>
                          <a:r>
                            <a:rPr lang="ru-RU" sz="2800" dirty="0" err="1" smtClean="0"/>
                            <a:t>Росгеолфонд</a:t>
                          </a:r>
                          <a:r>
                            <a:rPr lang="ru-RU" sz="2800" dirty="0" smtClean="0"/>
                            <a:t>»</a:t>
                          </a:r>
                          <a:endParaRPr lang="ru-RU" sz="2800" dirty="0"/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68313" y="1916113"/>
                        <a:ext cx="8154987" cy="3457575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52635B" w:rsidRPr="00F7439B" w:rsidRDefault="00321ED5" w:rsidP="00762B82">
      <w:pPr>
        <w:pStyle w:val="1"/>
        <w:spacing w:line="276" w:lineRule="auto"/>
        <w:ind w:firstLine="720"/>
        <w:jc w:val="both"/>
        <w:rPr>
          <w:szCs w:val="24"/>
        </w:rPr>
      </w:pPr>
      <w:r w:rsidRPr="00F7439B">
        <w:rPr>
          <w:szCs w:val="24"/>
        </w:rPr>
        <w:t xml:space="preserve">Посредством читального зала обслужена 51 </w:t>
      </w:r>
      <w:proofErr w:type="gramStart"/>
      <w:r w:rsidRPr="00F7439B">
        <w:rPr>
          <w:szCs w:val="24"/>
        </w:rPr>
        <w:t>заявка</w:t>
      </w:r>
      <w:proofErr w:type="gramEnd"/>
      <w:r w:rsidRPr="00F7439B">
        <w:rPr>
          <w:szCs w:val="24"/>
        </w:rPr>
        <w:t xml:space="preserve"> поступившая в соответствии с требованиями Административного регламента</w:t>
      </w:r>
      <w:r w:rsidR="0052635B" w:rsidRPr="00F7439B">
        <w:rPr>
          <w:szCs w:val="24"/>
        </w:rPr>
        <w:t>.</w:t>
      </w:r>
    </w:p>
    <w:p w:rsidR="00321ED5" w:rsidRPr="00F7439B" w:rsidRDefault="00321ED5" w:rsidP="00762B82">
      <w:pPr>
        <w:pStyle w:val="1"/>
        <w:spacing w:line="276" w:lineRule="auto"/>
        <w:ind w:firstLine="720"/>
        <w:jc w:val="both"/>
        <w:rPr>
          <w:szCs w:val="24"/>
        </w:rPr>
      </w:pPr>
      <w:r w:rsidRPr="00F7439B">
        <w:rPr>
          <w:szCs w:val="24"/>
        </w:rPr>
        <w:t xml:space="preserve">Заявки на получение геологической информации поступали в основном от проектных и строительных организаций, </w:t>
      </w:r>
      <w:proofErr w:type="spellStart"/>
      <w:r w:rsidRPr="00F7439B">
        <w:rPr>
          <w:szCs w:val="24"/>
        </w:rPr>
        <w:t>предприятий-недропользователей</w:t>
      </w:r>
      <w:proofErr w:type="spellEnd"/>
      <w:r w:rsidRPr="00F7439B">
        <w:rPr>
          <w:szCs w:val="24"/>
        </w:rPr>
        <w:t xml:space="preserve">, физических лиц.   </w:t>
      </w:r>
    </w:p>
    <w:p w:rsidR="00321ED5" w:rsidRPr="00F7439B" w:rsidRDefault="00321ED5" w:rsidP="00762B82">
      <w:pPr>
        <w:pStyle w:val="1"/>
        <w:spacing w:line="276" w:lineRule="auto"/>
        <w:ind w:firstLine="720"/>
        <w:jc w:val="both"/>
        <w:rPr>
          <w:szCs w:val="24"/>
        </w:rPr>
      </w:pPr>
      <w:r w:rsidRPr="00F7439B">
        <w:rPr>
          <w:szCs w:val="24"/>
        </w:rPr>
        <w:t>Всего для работы в читальном зале за отчетный период  посетителям было предоставлено 3295 единиц хранения. Зарегистрировано  827 посещений.</w:t>
      </w:r>
    </w:p>
    <w:p w:rsidR="00321ED5" w:rsidRPr="00F7439B" w:rsidRDefault="00321ED5" w:rsidP="00762B82">
      <w:pPr>
        <w:pStyle w:val="1"/>
        <w:spacing w:line="276" w:lineRule="auto"/>
        <w:ind w:firstLine="720"/>
        <w:jc w:val="both"/>
        <w:rPr>
          <w:szCs w:val="24"/>
        </w:rPr>
      </w:pPr>
      <w:r w:rsidRPr="00F7439B">
        <w:rPr>
          <w:szCs w:val="24"/>
        </w:rPr>
        <w:t>С целью обеспечения информацией заинтересованных пользователей составлен годовой информационный бюллетень геологических материалов, поступивших на хранение в 2012 году, постоянно пополняются каталоги и ведутся 11 рубрик предметно-систематического каталога.</w:t>
      </w:r>
      <w:bookmarkStart w:id="0" w:name="%D0%A0%D0%B0%D0%B7%D0%B4%D0%B5%D0%BB_2_2"/>
      <w:bookmarkEnd w:id="0"/>
    </w:p>
    <w:p w:rsidR="00233F0B" w:rsidRPr="00F7439B" w:rsidRDefault="00233F0B" w:rsidP="00233F0B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F7439B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343525" cy="2257425"/>
            <wp:effectExtent l="0" t="0" r="0" b="0"/>
            <wp:docPr id="14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3250" cy="5059363"/>
                      <a:chOff x="533400" y="457200"/>
                      <a:chExt cx="8223250" cy="5059363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533400" y="457200"/>
                        <a:ext cx="8077200" cy="107542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rtlCol="0" anchor="b" anchorCtr="0">
                          <a:normAutofit/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sz="4000" kern="12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sz="3200" dirty="0" smtClean="0">
                              <a:latin typeface="Arial" pitchFamily="34" charset="0"/>
                              <a:cs typeface="Arial" pitchFamily="34" charset="0"/>
                            </a:rPr>
                            <a:t>Предоставление информации</a:t>
                          </a:r>
                          <a:endParaRPr lang="ru-RU" sz="3200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0" name="Object 2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11188" y="1844675"/>
                        <a:ext cx="8145462" cy="3671888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321ED5" w:rsidRPr="00F7439B" w:rsidRDefault="00321ED5" w:rsidP="00233F0B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39B">
        <w:rPr>
          <w:rFonts w:ascii="Times New Roman" w:hAnsi="Times New Roman"/>
          <w:sz w:val="24"/>
          <w:szCs w:val="24"/>
        </w:rPr>
        <w:t>Геологическая информация, запрашиваемая пользователями, предоставлялась  в отчетном периоде посредством ознакомления с бумажными носителями и производством выписок, а так же путем ознакомления с электронной версией требуемого материала.</w:t>
      </w:r>
    </w:p>
    <w:p w:rsidR="00321ED5" w:rsidRPr="00F7439B" w:rsidRDefault="00321ED5" w:rsidP="00762B82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39B">
        <w:rPr>
          <w:rFonts w:ascii="Times New Roman" w:hAnsi="Times New Roman"/>
          <w:sz w:val="24"/>
          <w:szCs w:val="24"/>
        </w:rPr>
        <w:t xml:space="preserve">Значительный объем предоставляемой информации составляют документы по </w:t>
      </w:r>
      <w:proofErr w:type="spellStart"/>
      <w:r w:rsidRPr="00F7439B">
        <w:rPr>
          <w:rFonts w:ascii="Times New Roman" w:hAnsi="Times New Roman"/>
          <w:sz w:val="24"/>
          <w:szCs w:val="24"/>
        </w:rPr>
        <w:t>недропользованию</w:t>
      </w:r>
      <w:proofErr w:type="spellEnd"/>
      <w:r w:rsidRPr="00F7439B">
        <w:rPr>
          <w:rFonts w:ascii="Times New Roman" w:hAnsi="Times New Roman"/>
          <w:sz w:val="24"/>
          <w:szCs w:val="24"/>
        </w:rPr>
        <w:t xml:space="preserve">. За отчетный период предоставлена 1421 единица хранения лицензионных документов. В </w:t>
      </w:r>
      <w:r w:rsidR="00C31744" w:rsidRPr="00F7439B">
        <w:rPr>
          <w:rFonts w:ascii="Times New Roman" w:hAnsi="Times New Roman"/>
          <w:sz w:val="24"/>
          <w:szCs w:val="24"/>
        </w:rPr>
        <w:t xml:space="preserve">основном сотрудникам территориальных органов </w:t>
      </w:r>
      <w:proofErr w:type="spellStart"/>
      <w:r w:rsidR="00C31744" w:rsidRPr="00F7439B">
        <w:rPr>
          <w:rFonts w:ascii="Times New Roman" w:hAnsi="Times New Roman"/>
          <w:sz w:val="24"/>
          <w:szCs w:val="24"/>
        </w:rPr>
        <w:t>Роснедра</w:t>
      </w:r>
      <w:proofErr w:type="spellEnd"/>
      <w:r w:rsidR="00C31744" w:rsidRPr="00F7439B">
        <w:rPr>
          <w:rFonts w:ascii="Times New Roman" w:hAnsi="Times New Roman"/>
          <w:sz w:val="24"/>
          <w:szCs w:val="24"/>
        </w:rPr>
        <w:t xml:space="preserve"> </w:t>
      </w:r>
      <w:r w:rsidR="00C31744" w:rsidRPr="00F7439B">
        <w:rPr>
          <w:rFonts w:ascii="Times New Roman" w:hAnsi="Times New Roman"/>
          <w:sz w:val="24"/>
          <w:szCs w:val="24"/>
        </w:rPr>
        <w:lastRenderedPageBreak/>
        <w:t>и У</w:t>
      </w:r>
      <w:r w:rsidRPr="00F7439B">
        <w:rPr>
          <w:rFonts w:ascii="Times New Roman" w:hAnsi="Times New Roman"/>
          <w:sz w:val="24"/>
          <w:szCs w:val="24"/>
        </w:rPr>
        <w:t xml:space="preserve">правлению </w:t>
      </w:r>
      <w:proofErr w:type="spellStart"/>
      <w:r w:rsidRPr="00F7439B"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 w:rsidRPr="00F7439B">
        <w:rPr>
          <w:rFonts w:ascii="Times New Roman" w:hAnsi="Times New Roman"/>
          <w:sz w:val="24"/>
          <w:szCs w:val="24"/>
        </w:rPr>
        <w:t xml:space="preserve"> по Республике Мордовия с целью проведения контрольных проверок</w:t>
      </w:r>
      <w:r w:rsidR="00C31744" w:rsidRPr="00F7439B">
        <w:rPr>
          <w:rFonts w:ascii="Times New Roman" w:hAnsi="Times New Roman"/>
          <w:sz w:val="24"/>
          <w:szCs w:val="24"/>
        </w:rPr>
        <w:t>.</w:t>
      </w:r>
      <w:r w:rsidRPr="00F7439B">
        <w:rPr>
          <w:rFonts w:ascii="Times New Roman" w:hAnsi="Times New Roman"/>
          <w:sz w:val="24"/>
          <w:szCs w:val="24"/>
        </w:rPr>
        <w:t xml:space="preserve"> </w:t>
      </w:r>
    </w:p>
    <w:p w:rsidR="00321ED5" w:rsidRPr="00F7439B" w:rsidRDefault="00321ED5" w:rsidP="00762B82">
      <w:pPr>
        <w:pStyle w:val="a6"/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7439B">
        <w:rPr>
          <w:rFonts w:ascii="Times New Roman" w:hAnsi="Times New Roman"/>
          <w:sz w:val="24"/>
          <w:szCs w:val="24"/>
        </w:rPr>
        <w:t xml:space="preserve">Отчеты о результатах ГИН и первичные материалы по ним </w:t>
      </w:r>
      <w:proofErr w:type="gramStart"/>
      <w:r w:rsidRPr="00F7439B">
        <w:rPr>
          <w:rFonts w:ascii="Times New Roman" w:hAnsi="Times New Roman"/>
          <w:sz w:val="24"/>
          <w:szCs w:val="24"/>
        </w:rPr>
        <w:t>в используются</w:t>
      </w:r>
      <w:proofErr w:type="gramEnd"/>
      <w:r w:rsidR="0052635B" w:rsidRPr="00F7439B">
        <w:rPr>
          <w:rFonts w:ascii="Times New Roman" w:hAnsi="Times New Roman"/>
          <w:sz w:val="24"/>
          <w:szCs w:val="24"/>
        </w:rPr>
        <w:t xml:space="preserve"> и сами</w:t>
      </w:r>
      <w:r w:rsidRPr="00F7439B">
        <w:rPr>
          <w:rFonts w:ascii="Times New Roman" w:hAnsi="Times New Roman"/>
          <w:sz w:val="24"/>
          <w:szCs w:val="24"/>
        </w:rPr>
        <w:t xml:space="preserve"> сотрудниками геологического фонда в связи с актуализацией паспортов ГКМ проводимой в соответствии с распоряжением «</w:t>
      </w:r>
      <w:proofErr w:type="spellStart"/>
      <w:r w:rsidRPr="00F7439B">
        <w:rPr>
          <w:rFonts w:ascii="Times New Roman" w:hAnsi="Times New Roman"/>
          <w:sz w:val="24"/>
          <w:szCs w:val="24"/>
        </w:rPr>
        <w:t>Росгеолфонда</w:t>
      </w:r>
      <w:proofErr w:type="spellEnd"/>
      <w:r w:rsidRPr="00F7439B">
        <w:rPr>
          <w:rFonts w:ascii="Times New Roman" w:hAnsi="Times New Roman"/>
          <w:sz w:val="24"/>
          <w:szCs w:val="24"/>
        </w:rPr>
        <w:t>» и подготовкой проектов заключений о наличии (отсутствии) месторождений полезных ископаемых на площадях проектируемого строительства</w:t>
      </w:r>
      <w:r w:rsidRPr="00F7439B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321ED5" w:rsidRPr="00F7439B" w:rsidRDefault="00321ED5" w:rsidP="00762B82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39B">
        <w:rPr>
          <w:rFonts w:ascii="Times New Roman" w:hAnsi="Times New Roman"/>
          <w:sz w:val="24"/>
          <w:szCs w:val="24"/>
        </w:rPr>
        <w:t xml:space="preserve">Всего для этих целей за отчетный период было выдано 822 единицы хранения геологических отчетов и первичных материалов, 115 протоколов, 220 паспортов ГКМ. </w:t>
      </w:r>
    </w:p>
    <w:p w:rsidR="00321ED5" w:rsidRPr="00F7439B" w:rsidRDefault="00321ED5" w:rsidP="00762B82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39B">
        <w:rPr>
          <w:rFonts w:ascii="Times New Roman" w:hAnsi="Times New Roman"/>
          <w:sz w:val="24"/>
          <w:szCs w:val="24"/>
        </w:rPr>
        <w:t>Для подготовки информации по изученности территории участка недр подлежащего лицензированию используются карточки геологической изученности территории Республики Мордовия, всего за отчетный период выдано 67 ед</w:t>
      </w:r>
      <w:proofErr w:type="gramStart"/>
      <w:r w:rsidRPr="00F7439B">
        <w:rPr>
          <w:rFonts w:ascii="Times New Roman" w:hAnsi="Times New Roman"/>
          <w:sz w:val="24"/>
          <w:szCs w:val="24"/>
        </w:rPr>
        <w:t>.х</w:t>
      </w:r>
      <w:proofErr w:type="gramEnd"/>
      <w:r w:rsidRPr="00F7439B">
        <w:rPr>
          <w:rFonts w:ascii="Times New Roman" w:hAnsi="Times New Roman"/>
          <w:sz w:val="24"/>
          <w:szCs w:val="24"/>
        </w:rPr>
        <w:t>ранения.</w:t>
      </w:r>
    </w:p>
    <w:p w:rsidR="00321ED5" w:rsidRPr="00F7439B" w:rsidRDefault="00321ED5" w:rsidP="00762B82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39B">
        <w:rPr>
          <w:rFonts w:ascii="Times New Roman" w:hAnsi="Times New Roman"/>
          <w:sz w:val="24"/>
          <w:szCs w:val="24"/>
        </w:rPr>
        <w:t xml:space="preserve">Карточки буровых скважин на воду используются сотрудниками геологического фонда для подготовки справок для целей лицензирования по заявкам </w:t>
      </w:r>
      <w:proofErr w:type="spellStart"/>
      <w:r w:rsidRPr="00F7439B">
        <w:rPr>
          <w:rFonts w:ascii="Times New Roman" w:hAnsi="Times New Roman"/>
          <w:sz w:val="24"/>
          <w:szCs w:val="24"/>
        </w:rPr>
        <w:t>Мордовнедра</w:t>
      </w:r>
      <w:proofErr w:type="spellEnd"/>
      <w:r w:rsidRPr="00F7439B">
        <w:rPr>
          <w:rFonts w:ascii="Times New Roman" w:hAnsi="Times New Roman"/>
          <w:sz w:val="24"/>
          <w:szCs w:val="24"/>
        </w:rPr>
        <w:t xml:space="preserve"> и для ввода информации в ИС «Недра». </w:t>
      </w:r>
    </w:p>
    <w:p w:rsidR="00321ED5" w:rsidRPr="00F7439B" w:rsidRDefault="00321ED5" w:rsidP="00762B82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439B">
        <w:rPr>
          <w:rFonts w:ascii="Times New Roman" w:hAnsi="Times New Roman"/>
          <w:sz w:val="24"/>
          <w:szCs w:val="24"/>
        </w:rPr>
        <w:t xml:space="preserve">Среди прочих информационных ресурсов наиболее востребованы формы статистической отчетности 2-тп </w:t>
      </w:r>
      <w:proofErr w:type="spellStart"/>
      <w:r w:rsidRPr="00F7439B">
        <w:rPr>
          <w:rFonts w:ascii="Times New Roman" w:hAnsi="Times New Roman"/>
          <w:sz w:val="24"/>
          <w:szCs w:val="24"/>
        </w:rPr>
        <w:t>водхоз</w:t>
      </w:r>
      <w:proofErr w:type="spellEnd"/>
      <w:r w:rsidRPr="00F7439B">
        <w:rPr>
          <w:rFonts w:ascii="Times New Roman" w:hAnsi="Times New Roman"/>
          <w:sz w:val="24"/>
          <w:szCs w:val="24"/>
        </w:rPr>
        <w:t xml:space="preserve"> (подземные воды), годовые отчеты </w:t>
      </w:r>
      <w:proofErr w:type="spellStart"/>
      <w:r w:rsidRPr="00F7439B">
        <w:rPr>
          <w:rFonts w:ascii="Times New Roman" w:hAnsi="Times New Roman"/>
          <w:sz w:val="24"/>
          <w:szCs w:val="24"/>
        </w:rPr>
        <w:t>недропользователей</w:t>
      </w:r>
      <w:proofErr w:type="spellEnd"/>
      <w:r w:rsidRPr="00F7439B">
        <w:rPr>
          <w:rFonts w:ascii="Times New Roman" w:hAnsi="Times New Roman"/>
          <w:sz w:val="24"/>
          <w:szCs w:val="24"/>
        </w:rPr>
        <w:t xml:space="preserve"> по ведению локального мониторинга, которые так же используемые для ведения баз данных, всего</w:t>
      </w:r>
      <w:r w:rsidRPr="00F743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7439B">
        <w:rPr>
          <w:rFonts w:ascii="Times New Roman" w:hAnsi="Times New Roman"/>
          <w:sz w:val="24"/>
          <w:szCs w:val="24"/>
        </w:rPr>
        <w:t>выдано 573 единицы хранения.</w:t>
      </w:r>
    </w:p>
    <w:p w:rsidR="00302D63" w:rsidRPr="00F7439B" w:rsidRDefault="00302D63" w:rsidP="00363D6E">
      <w:pPr>
        <w:shd w:val="clear" w:color="auto" w:fill="FFFFFF"/>
        <w:tabs>
          <w:tab w:val="left" w:pos="226"/>
        </w:tabs>
        <w:spacing w:line="360" w:lineRule="auto"/>
        <w:ind w:firstLine="720"/>
        <w:jc w:val="both"/>
        <w:rPr>
          <w:sz w:val="24"/>
          <w:szCs w:val="24"/>
        </w:rPr>
      </w:pPr>
    </w:p>
    <w:p w:rsidR="00302D63" w:rsidRPr="00F7439B" w:rsidRDefault="00302D63" w:rsidP="00363D6E">
      <w:pPr>
        <w:shd w:val="clear" w:color="auto" w:fill="FFFFFF"/>
        <w:tabs>
          <w:tab w:val="left" w:pos="226"/>
        </w:tabs>
        <w:spacing w:line="360" w:lineRule="auto"/>
        <w:ind w:firstLine="720"/>
        <w:jc w:val="both"/>
        <w:rPr>
          <w:sz w:val="24"/>
          <w:szCs w:val="24"/>
        </w:rPr>
      </w:pPr>
    </w:p>
    <w:p w:rsidR="00302D63" w:rsidRPr="00F7439B" w:rsidRDefault="00302D63" w:rsidP="00363D6E">
      <w:pPr>
        <w:shd w:val="clear" w:color="auto" w:fill="FFFFFF"/>
        <w:tabs>
          <w:tab w:val="left" w:pos="226"/>
        </w:tabs>
        <w:spacing w:line="360" w:lineRule="auto"/>
        <w:ind w:firstLine="720"/>
        <w:jc w:val="both"/>
        <w:rPr>
          <w:sz w:val="24"/>
          <w:szCs w:val="24"/>
        </w:rPr>
      </w:pPr>
    </w:p>
    <w:p w:rsidR="00302D63" w:rsidRPr="00F7439B" w:rsidRDefault="00302D63" w:rsidP="00363D6E">
      <w:pPr>
        <w:shd w:val="clear" w:color="auto" w:fill="FFFFFF"/>
        <w:tabs>
          <w:tab w:val="left" w:pos="226"/>
        </w:tabs>
        <w:spacing w:line="360" w:lineRule="auto"/>
        <w:ind w:firstLine="720"/>
        <w:jc w:val="both"/>
        <w:rPr>
          <w:sz w:val="24"/>
          <w:szCs w:val="24"/>
          <w:lang w:eastAsia="ar-SA"/>
        </w:rPr>
      </w:pPr>
    </w:p>
    <w:p w:rsidR="009210F3" w:rsidRPr="00F7439B" w:rsidRDefault="009210F3">
      <w:pPr>
        <w:rPr>
          <w:sz w:val="24"/>
          <w:szCs w:val="24"/>
        </w:rPr>
      </w:pPr>
    </w:p>
    <w:p w:rsidR="00946342" w:rsidRPr="00F7439B" w:rsidRDefault="00946342">
      <w:pPr>
        <w:rPr>
          <w:sz w:val="24"/>
          <w:szCs w:val="24"/>
        </w:rPr>
      </w:pPr>
    </w:p>
    <w:sectPr w:rsidR="00946342" w:rsidRPr="00F7439B" w:rsidSect="0092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7504"/>
    <w:multiLevelType w:val="hybridMultilevel"/>
    <w:tmpl w:val="F26E2FF6"/>
    <w:lvl w:ilvl="0" w:tplc="9AE490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D6E"/>
    <w:rsid w:val="00075975"/>
    <w:rsid w:val="00194707"/>
    <w:rsid w:val="001A7B75"/>
    <w:rsid w:val="00233F0B"/>
    <w:rsid w:val="00262A2D"/>
    <w:rsid w:val="00274BC4"/>
    <w:rsid w:val="00297996"/>
    <w:rsid w:val="002C6942"/>
    <w:rsid w:val="002F0B29"/>
    <w:rsid w:val="00302D63"/>
    <w:rsid w:val="00321ED5"/>
    <w:rsid w:val="00326429"/>
    <w:rsid w:val="00363D6E"/>
    <w:rsid w:val="003A64A9"/>
    <w:rsid w:val="003F6BFD"/>
    <w:rsid w:val="0052635B"/>
    <w:rsid w:val="007409F4"/>
    <w:rsid w:val="00762B82"/>
    <w:rsid w:val="00850A09"/>
    <w:rsid w:val="009210F3"/>
    <w:rsid w:val="00946342"/>
    <w:rsid w:val="00BA5A0A"/>
    <w:rsid w:val="00C31744"/>
    <w:rsid w:val="00C340F3"/>
    <w:rsid w:val="00C62969"/>
    <w:rsid w:val="00D0626D"/>
    <w:rsid w:val="00D821EB"/>
    <w:rsid w:val="00DF0F1B"/>
    <w:rsid w:val="00EF11A6"/>
    <w:rsid w:val="00F7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6E"/>
    <w:pPr>
      <w:spacing w:line="240" w:lineRule="auto"/>
    </w:pPr>
    <w:rPr>
      <w:rFonts w:eastAsia="Times New Roman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6429"/>
    <w:pPr>
      <w:jc w:val="center"/>
    </w:pPr>
    <w:rPr>
      <w:b/>
      <w:sz w:val="24"/>
      <w:szCs w:val="24"/>
    </w:rPr>
  </w:style>
  <w:style w:type="character" w:customStyle="1" w:styleId="a4">
    <w:name w:val="Основной текст Знак"/>
    <w:basedOn w:val="a0"/>
    <w:link w:val="a3"/>
    <w:rsid w:val="00326429"/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2642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EF11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321ED5"/>
    <w:pPr>
      <w:suppressAutoHyphens/>
      <w:spacing w:after="120" w:line="480" w:lineRule="auto"/>
    </w:pPr>
    <w:rPr>
      <w:lang w:eastAsia="ar-SA"/>
    </w:rPr>
  </w:style>
  <w:style w:type="paragraph" w:customStyle="1" w:styleId="1">
    <w:name w:val="Обычный1"/>
    <w:rsid w:val="00321ED5"/>
    <w:pPr>
      <w:widowControl w:val="0"/>
      <w:spacing w:line="300" w:lineRule="auto"/>
      <w:ind w:firstLine="680"/>
    </w:pPr>
    <w:rPr>
      <w:rFonts w:eastAsia="Times New Roman" w:cs="Times New Roman"/>
      <w:b w:val="0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69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942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3.emf"/><Relationship Id="rId5" Type="http://schemas.openxmlformats.org/officeDocument/2006/relationships/chart" Target="charts/chart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 sz="1600">
                <a:latin typeface="Arial" pitchFamily="34" charset="0"/>
                <a:cs typeface="Arial" pitchFamily="34" charset="0"/>
              </a:defRPr>
            </a:pPr>
            <a:r>
              <a:rPr lang="ru-RU" sz="1600" dirty="0">
                <a:latin typeface="Arial" pitchFamily="34" charset="0"/>
                <a:cs typeface="Arial" pitchFamily="34" charset="0"/>
              </a:rPr>
              <a:t>Кол-во </a:t>
            </a:r>
            <a:r>
              <a:rPr lang="ru-RU" sz="1600" dirty="0" smtClean="0">
                <a:latin typeface="Arial" pitchFamily="34" charset="0"/>
                <a:cs typeface="Arial" pitchFamily="34" charset="0"/>
              </a:rPr>
              <a:t>информационных ресурсов, ед.хр.</a:t>
            </a:r>
            <a:endParaRPr lang="ru-RU" sz="1600" dirty="0">
              <a:latin typeface="Arial" pitchFamily="34" charset="0"/>
              <a:cs typeface="Arial" pitchFamily="34" charset="0"/>
            </a:endParaRPr>
          </a:p>
        </c:rich>
      </c:tx>
      <c:layout/>
    </c:title>
    <c:view3D>
      <c:rotX val="0"/>
      <c:rotY val="0"/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Кол-во ИР</c:v>
                </c:pt>
              </c:strCache>
            </c:strRef>
          </c:tx>
          <c:dLbls>
            <c:dLbl>
              <c:idx val="0"/>
              <c:layout>
                <c:manualLayout>
                  <c:x val="3.2633083882956876E-3"/>
                  <c:y val="-0.1265580057526367"/>
                </c:manualLayout>
              </c:layout>
              <c:showVal val="1"/>
            </c:dLbl>
            <c:dLbl>
              <c:idx val="1"/>
              <c:layout>
                <c:manualLayout>
                  <c:x val="3.2633083882956876E-3"/>
                  <c:y val="-0.1649089165867696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0.17257909875359539"/>
                </c:manualLayout>
              </c:layout>
              <c:showVal val="1"/>
            </c:dLbl>
            <c:dLbl>
              <c:idx val="3"/>
              <c:layout>
                <c:manualLayout>
                  <c:x val="1.6316541941478386E-3"/>
                  <c:y val="-0.15723873441994318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0.21093000958772876"/>
                </c:manualLayout>
              </c:layout>
              <c:showVal val="1"/>
            </c:dLbl>
            <c:dLbl>
              <c:idx val="5"/>
              <c:layout>
                <c:manualLayout>
                  <c:x val="-6.5266167765913432E-3"/>
                  <c:y val="-0.2109300095877287"/>
                </c:manualLayout>
              </c:layout>
              <c:showVal val="1"/>
            </c:dLbl>
            <c:dLbl>
              <c:idx val="6"/>
              <c:layout>
                <c:manualLayout>
                  <c:x val="-3.2633083882956876E-3"/>
                  <c:y val="-0.29530231539849638"/>
                </c:manualLayout>
              </c:layout>
              <c:showVal val="1"/>
            </c:dLbl>
            <c:dLbl>
              <c:idx val="7"/>
              <c:layout>
                <c:manualLayout>
                  <c:x val="6.5266167765913432E-3"/>
                  <c:y val="-0.31064237775647291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0.33748801534036693"/>
                </c:manualLayout>
              </c:layout>
              <c:showVal val="1"/>
            </c:dLbl>
            <c:dLbl>
              <c:idx val="9"/>
              <c:layout>
                <c:manualLayout>
                  <c:x val="1.142157935903493E-2"/>
                  <c:y val="-0.37609859382426936"/>
                </c:manualLayout>
              </c:layout>
              <c:showVal val="1"/>
            </c:dLbl>
            <c:txPr>
              <a:bodyPr anchor="t" anchorCtr="1"/>
              <a:lstStyle/>
              <a:p>
                <a:pPr>
                  <a:defRPr sz="14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Лист1!$B$1:$K$1</c:f>
              <c:strCach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strCache>
            </c:strRef>
          </c:cat>
          <c:val>
            <c:numRef>
              <c:f>Лист1!$B$2:$K$2</c:f>
              <c:numCache>
                <c:formatCode>General</c:formatCode>
                <c:ptCount val="10"/>
                <c:pt idx="0">
                  <c:v>6923</c:v>
                </c:pt>
                <c:pt idx="1">
                  <c:v>10412</c:v>
                </c:pt>
                <c:pt idx="2">
                  <c:v>12466</c:v>
                </c:pt>
                <c:pt idx="3">
                  <c:v>13116</c:v>
                </c:pt>
                <c:pt idx="4">
                  <c:v>14682</c:v>
                </c:pt>
                <c:pt idx="5">
                  <c:v>16485</c:v>
                </c:pt>
                <c:pt idx="6">
                  <c:v>30199</c:v>
                </c:pt>
                <c:pt idx="7">
                  <c:v>32693</c:v>
                </c:pt>
                <c:pt idx="8">
                  <c:v>34729</c:v>
                </c:pt>
                <c:pt idx="9">
                  <c:v>36422</c:v>
                </c:pt>
              </c:numCache>
            </c:numRef>
          </c:val>
        </c:ser>
        <c:gapWidth val="55"/>
        <c:gapDepth val="55"/>
        <c:shape val="cylinder"/>
        <c:axId val="92373760"/>
        <c:axId val="92375296"/>
        <c:axId val="0"/>
      </c:bar3DChart>
      <c:catAx>
        <c:axId val="923737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6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2375296"/>
        <c:crosses val="autoZero"/>
        <c:auto val="1"/>
        <c:lblAlgn val="ctr"/>
        <c:lblOffset val="100"/>
      </c:catAx>
      <c:valAx>
        <c:axId val="923752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6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2373760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 sz="1600">
                <a:latin typeface="Arial" pitchFamily="34" charset="0"/>
                <a:cs typeface="Arial" pitchFamily="34" charset="0"/>
              </a:defRPr>
            </a:pPr>
            <a:r>
              <a:rPr lang="ru-RU" sz="1600" dirty="0">
                <a:latin typeface="Arial" pitchFamily="34" charset="0"/>
                <a:cs typeface="Arial" pitchFamily="34" charset="0"/>
              </a:rPr>
              <a:t>Кол-во </a:t>
            </a:r>
            <a:r>
              <a:rPr lang="ru-RU" sz="1600" dirty="0" smtClean="0">
                <a:latin typeface="Arial" pitchFamily="34" charset="0"/>
                <a:cs typeface="Arial" pitchFamily="34" charset="0"/>
              </a:rPr>
              <a:t>поступивших за год МНЗ, </a:t>
            </a:r>
            <a:r>
              <a:rPr lang="ru-RU" sz="1600" dirty="0">
                <a:latin typeface="Arial" pitchFamily="34" charset="0"/>
                <a:cs typeface="Arial" pitchFamily="34" charset="0"/>
              </a:rPr>
              <a:t>ед.хр.</a:t>
            </a:r>
          </a:p>
        </c:rich>
      </c:tx>
      <c:layout/>
    </c:title>
    <c:view3D>
      <c:rotX val="0"/>
      <c:rotY val="0"/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Кол-во ИР в электронном виде</c:v>
                </c:pt>
              </c:strCache>
            </c:strRef>
          </c:tx>
          <c:dLbls>
            <c:dLbl>
              <c:idx val="0"/>
              <c:layout>
                <c:manualLayout>
                  <c:x val="1.4694612121286893E-2"/>
                  <c:y val="-0.12098001117322361"/>
                </c:manualLayout>
              </c:layout>
              <c:showVal val="1"/>
            </c:dLbl>
            <c:dLbl>
              <c:idx val="1"/>
              <c:layout>
                <c:manualLayout>
                  <c:x val="1.1428514115715615E-2"/>
                  <c:y val="-9.7974765379872472E-2"/>
                </c:manualLayout>
              </c:layout>
              <c:showVal val="1"/>
            </c:dLbl>
            <c:dLbl>
              <c:idx val="2"/>
              <c:layout>
                <c:manualLayout>
                  <c:x val="9.7982940167141968E-3"/>
                  <c:y val="-9.4489720985632963E-2"/>
                </c:manualLayout>
              </c:layout>
              <c:showVal val="1"/>
            </c:dLbl>
            <c:dLbl>
              <c:idx val="3"/>
              <c:layout>
                <c:manualLayout>
                  <c:x val="6.5307815592506183E-3"/>
                  <c:y val="-0.12377156028094709"/>
                </c:manualLayout>
              </c:layout>
              <c:showVal val="1"/>
            </c:dLbl>
            <c:dLbl>
              <c:idx val="4"/>
              <c:layout>
                <c:manualLayout>
                  <c:x val="-1.2858653565241722E-7"/>
                  <c:y val="-0.18861885955820132"/>
                </c:manualLayout>
              </c:layout>
              <c:showVal val="1"/>
            </c:dLbl>
            <c:dLbl>
              <c:idx val="5"/>
              <c:layout>
                <c:manualLayout>
                  <c:x val="-8.1597157928954504E-3"/>
                  <c:y val="-0.14399623694261302"/>
                </c:manualLayout>
              </c:layout>
              <c:showVal val="1"/>
            </c:dLbl>
            <c:dLbl>
              <c:idx val="6"/>
              <c:layout>
                <c:manualLayout>
                  <c:x val="-4.8963181045727578E-3"/>
                  <c:y val="-0.17259029053895028"/>
                </c:manualLayout>
              </c:layout>
              <c:showVal val="1"/>
            </c:dLbl>
            <c:dLbl>
              <c:idx val="7"/>
              <c:layout>
                <c:manualLayout>
                  <c:x val="-8.1707742349615749E-3"/>
                  <c:y val="-0.19350802328808961"/>
                </c:manualLayout>
              </c:layout>
              <c:showVal val="1"/>
            </c:dLbl>
            <c:dLbl>
              <c:idx val="8"/>
              <c:layout>
                <c:manualLayout>
                  <c:x val="-1.143134301949989E-2"/>
                  <c:y val="-0.2761323429687747"/>
                </c:manualLayout>
              </c:layout>
              <c:showVal val="1"/>
            </c:dLbl>
            <c:dLbl>
              <c:idx val="9"/>
              <c:layout>
                <c:manualLayout>
                  <c:x val="-1.4707213601780872E-2"/>
                  <c:y val="-0.19203011851346941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Лист1!$B$1:$K$1</c:f>
              <c:strCach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strCache>
            </c:strRef>
          </c:cat>
          <c:val>
            <c:numRef>
              <c:f>Лист1!$B$2:$K$2</c:f>
              <c:numCache>
                <c:formatCode>General</c:formatCode>
                <c:ptCount val="10"/>
                <c:pt idx="0">
                  <c:v>23</c:v>
                </c:pt>
                <c:pt idx="1">
                  <c:v>13</c:v>
                </c:pt>
                <c:pt idx="2">
                  <c:v>17</c:v>
                </c:pt>
                <c:pt idx="3">
                  <c:v>22</c:v>
                </c:pt>
                <c:pt idx="4">
                  <c:v>120</c:v>
                </c:pt>
                <c:pt idx="5">
                  <c:v>66</c:v>
                </c:pt>
                <c:pt idx="6">
                  <c:v>104</c:v>
                </c:pt>
                <c:pt idx="7">
                  <c:v>119</c:v>
                </c:pt>
                <c:pt idx="8">
                  <c:v>234</c:v>
                </c:pt>
                <c:pt idx="9">
                  <c:v>118</c:v>
                </c:pt>
              </c:numCache>
            </c:numRef>
          </c:val>
        </c:ser>
        <c:gapWidth val="55"/>
        <c:gapDepth val="55"/>
        <c:shape val="cylinder"/>
        <c:axId val="135925120"/>
        <c:axId val="136016640"/>
        <c:axId val="0"/>
      </c:bar3DChart>
      <c:catAx>
        <c:axId val="1359251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36016640"/>
        <c:crosses val="autoZero"/>
        <c:auto val="1"/>
        <c:lblAlgn val="ctr"/>
        <c:lblOffset val="100"/>
      </c:catAx>
      <c:valAx>
        <c:axId val="136016640"/>
        <c:scaling>
          <c:orientation val="minMax"/>
          <c:max val="30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35925120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Текстовые материалы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68</c:v>
                </c:pt>
                <c:pt idx="1">
                  <c:v>290</c:v>
                </c:pt>
                <c:pt idx="2">
                  <c:v>215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Графические материалы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10</c:v>
                </c:pt>
                <c:pt idx="1">
                  <c:v>82</c:v>
                </c:pt>
                <c:pt idx="2">
                  <c:v>29</c:v>
                </c:pt>
              </c:numCache>
            </c:numRef>
          </c:val>
        </c:ser>
        <c:axId val="100954496"/>
        <c:axId val="100956416"/>
      </c:barChart>
      <c:catAx>
        <c:axId val="100954496"/>
        <c:scaling>
          <c:orientation val="minMax"/>
        </c:scaling>
        <c:axPos val="b"/>
        <c:tickLblPos val="nextTo"/>
        <c:crossAx val="100956416"/>
        <c:crosses val="autoZero"/>
        <c:auto val="1"/>
        <c:lblAlgn val="ctr"/>
        <c:lblOffset val="100"/>
      </c:catAx>
      <c:valAx>
        <c:axId val="100956416"/>
        <c:scaling>
          <c:orientation val="minMax"/>
        </c:scaling>
        <c:axPos val="l"/>
        <c:majorGridlines/>
        <c:numFmt formatCode="General" sourceLinked="1"/>
        <c:tickLblPos val="nextTo"/>
        <c:crossAx val="100954496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Лицензии</c:v>
                </c:pt>
                <c:pt idx="1">
                  <c:v>Работы ГИН</c:v>
                </c:pt>
                <c:pt idx="2">
                  <c:v>Скважины</c:v>
                </c:pt>
                <c:pt idx="3">
                  <c:v>Каталог</c:v>
                </c:pt>
                <c:pt idx="4">
                  <c:v>Изученность</c:v>
                </c:pt>
                <c:pt idx="5">
                  <c:v>Кадастр ГКМ</c:v>
                </c:pt>
                <c:pt idx="6">
                  <c:v>Баланс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883</c:v>
                </c:pt>
                <c:pt idx="1">
                  <c:v>118</c:v>
                </c:pt>
                <c:pt idx="2">
                  <c:v>409</c:v>
                </c:pt>
                <c:pt idx="3">
                  <c:v>1008</c:v>
                </c:pt>
                <c:pt idx="4">
                  <c:v>373</c:v>
                </c:pt>
                <c:pt idx="5">
                  <c:v>161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Лицензии</c:v>
                </c:pt>
                <c:pt idx="1">
                  <c:v>Работы ГИН</c:v>
                </c:pt>
                <c:pt idx="2">
                  <c:v>Скважины</c:v>
                </c:pt>
                <c:pt idx="3">
                  <c:v>Каталог</c:v>
                </c:pt>
                <c:pt idx="4">
                  <c:v>Изученность</c:v>
                </c:pt>
                <c:pt idx="5">
                  <c:v>Кадастр ГКМ</c:v>
                </c:pt>
                <c:pt idx="6">
                  <c:v>Баланс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932</c:v>
                </c:pt>
                <c:pt idx="1">
                  <c:v>362</c:v>
                </c:pt>
                <c:pt idx="2">
                  <c:v>3559</c:v>
                </c:pt>
                <c:pt idx="3">
                  <c:v>2350</c:v>
                </c:pt>
                <c:pt idx="4">
                  <c:v>429</c:v>
                </c:pt>
                <c:pt idx="5">
                  <c:v>160</c:v>
                </c:pt>
                <c:pt idx="6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Лицензии</c:v>
                </c:pt>
                <c:pt idx="1">
                  <c:v>Работы ГИН</c:v>
                </c:pt>
                <c:pt idx="2">
                  <c:v>Скважины</c:v>
                </c:pt>
                <c:pt idx="3">
                  <c:v>Каталог</c:v>
                </c:pt>
                <c:pt idx="4">
                  <c:v>Изученность</c:v>
                </c:pt>
                <c:pt idx="5">
                  <c:v>Кадастр ГКМ</c:v>
                </c:pt>
                <c:pt idx="6">
                  <c:v>Баланс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1024</c:v>
                </c:pt>
                <c:pt idx="1">
                  <c:v>379</c:v>
                </c:pt>
                <c:pt idx="2">
                  <c:v>2698</c:v>
                </c:pt>
                <c:pt idx="3">
                  <c:v>2862</c:v>
                </c:pt>
                <c:pt idx="4">
                  <c:v>435</c:v>
                </c:pt>
                <c:pt idx="5">
                  <c:v>170</c:v>
                </c:pt>
                <c:pt idx="6">
                  <c:v>77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Лицензии</c:v>
                </c:pt>
                <c:pt idx="1">
                  <c:v>Работы ГИН</c:v>
                </c:pt>
                <c:pt idx="2">
                  <c:v>Скважины</c:v>
                </c:pt>
                <c:pt idx="3">
                  <c:v>Каталог</c:v>
                </c:pt>
                <c:pt idx="4">
                  <c:v>Изученность</c:v>
                </c:pt>
                <c:pt idx="5">
                  <c:v>Кадастр ГКМ</c:v>
                </c:pt>
                <c:pt idx="6">
                  <c:v>Баланс 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1098</c:v>
                </c:pt>
                <c:pt idx="1">
                  <c:v>400</c:v>
                </c:pt>
                <c:pt idx="2">
                  <c:v>3661</c:v>
                </c:pt>
                <c:pt idx="3">
                  <c:v>3148</c:v>
                </c:pt>
                <c:pt idx="4">
                  <c:v>447</c:v>
                </c:pt>
                <c:pt idx="5">
                  <c:v>174</c:v>
                </c:pt>
                <c:pt idx="6">
                  <c:v>104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Лицензии</c:v>
                </c:pt>
                <c:pt idx="1">
                  <c:v>Работы ГИН</c:v>
                </c:pt>
                <c:pt idx="2">
                  <c:v>Скважины</c:v>
                </c:pt>
                <c:pt idx="3">
                  <c:v>Каталог</c:v>
                </c:pt>
                <c:pt idx="4">
                  <c:v>Изученность</c:v>
                </c:pt>
                <c:pt idx="5">
                  <c:v>Кадастр ГКМ</c:v>
                </c:pt>
                <c:pt idx="6">
                  <c:v>Баланс 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1133</c:v>
                </c:pt>
                <c:pt idx="1">
                  <c:v>436</c:v>
                </c:pt>
                <c:pt idx="2">
                  <c:v>3682</c:v>
                </c:pt>
                <c:pt idx="3">
                  <c:v>3455</c:v>
                </c:pt>
                <c:pt idx="4">
                  <c:v>461</c:v>
                </c:pt>
                <c:pt idx="5">
                  <c:v>180</c:v>
                </c:pt>
                <c:pt idx="6">
                  <c:v>105</c:v>
                </c:pt>
              </c:numCache>
            </c:numRef>
          </c:val>
        </c:ser>
        <c:shape val="box"/>
        <c:axId val="91173248"/>
        <c:axId val="91281664"/>
        <c:axId val="0"/>
      </c:bar3DChart>
      <c:catAx>
        <c:axId val="91173248"/>
        <c:scaling>
          <c:orientation val="minMax"/>
        </c:scaling>
        <c:axPos val="b"/>
        <c:majorTickMark val="none"/>
        <c:tickLblPos val="nextTo"/>
        <c:crossAx val="91281664"/>
        <c:crosses val="autoZero"/>
        <c:auto val="1"/>
        <c:lblAlgn val="ctr"/>
        <c:lblOffset val="100"/>
      </c:catAx>
      <c:valAx>
        <c:axId val="9128166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91173248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 Виталий</dc:creator>
  <cp:lastModifiedBy>Благов Виталий</cp:lastModifiedBy>
  <cp:revision>2</cp:revision>
  <dcterms:created xsi:type="dcterms:W3CDTF">2014-07-07T08:18:00Z</dcterms:created>
  <dcterms:modified xsi:type="dcterms:W3CDTF">2014-07-07T08:18:00Z</dcterms:modified>
</cp:coreProperties>
</file>